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86" w:rsidRPr="00734886" w:rsidRDefault="00734886" w:rsidP="00734886">
      <w:pPr>
        <w:autoSpaceDE w:val="0"/>
        <w:autoSpaceDN w:val="0"/>
        <w:bidi/>
        <w:adjustRightInd w:val="0"/>
        <w:spacing w:after="0" w:line="240" w:lineRule="auto"/>
        <w:jc w:val="center"/>
        <w:rPr>
          <w:rFonts w:ascii="Simplified Arabic" w:eastAsia="Calibri" w:hAnsi="Simplified Arabic" w:cs="Simplified Arabic"/>
          <w:b/>
          <w:bCs/>
          <w:sz w:val="28"/>
          <w:szCs w:val="28"/>
          <w:u w:val="single"/>
          <w:rtl/>
          <w:lang w:val="en-US" w:bidi="ar-LB"/>
        </w:rPr>
      </w:pPr>
      <w:r w:rsidRPr="00734886">
        <w:rPr>
          <w:rFonts w:ascii="Simplified Arabic" w:eastAsia="Calibri" w:hAnsi="Simplified Arabic" w:cs="Simplified Arabic"/>
          <w:b/>
          <w:bCs/>
          <w:sz w:val="28"/>
          <w:szCs w:val="28"/>
          <w:u w:val="single"/>
          <w:rtl/>
          <w:lang w:val="en-US"/>
        </w:rPr>
        <w:t>البث التلفزيوني والإذاعي</w:t>
      </w:r>
    </w:p>
    <w:p w:rsidR="00734886" w:rsidRPr="00734886" w:rsidRDefault="00734886" w:rsidP="00734886">
      <w:pPr>
        <w:autoSpaceDE w:val="0"/>
        <w:autoSpaceDN w:val="0"/>
        <w:adjustRightInd w:val="0"/>
        <w:spacing w:after="0" w:line="240" w:lineRule="auto"/>
        <w:jc w:val="center"/>
        <w:rPr>
          <w:rFonts w:ascii="Simplified Arabic" w:eastAsia="Calibri" w:hAnsi="Simplified Arabic" w:cs="Simplified Arabic"/>
          <w:b/>
          <w:bCs/>
          <w:sz w:val="28"/>
          <w:szCs w:val="28"/>
          <w:u w:val="single"/>
          <w:rtl/>
          <w:lang w:val="en-US" w:bidi="ar-LB"/>
        </w:rPr>
      </w:pPr>
      <w:r w:rsidRPr="00734886">
        <w:rPr>
          <w:rFonts w:ascii="Simplified Arabic" w:eastAsia="Calibri" w:hAnsi="Simplified Arabic" w:cs="Simplified Arabic"/>
          <w:b/>
          <w:bCs/>
          <w:sz w:val="28"/>
          <w:szCs w:val="28"/>
          <w:u w:val="single"/>
          <w:rtl/>
          <w:lang w:val="en-US"/>
        </w:rPr>
        <w:t>قانون رقم 353 - صادر في 28/7/1994</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b/>
          <w:bCs/>
          <w:sz w:val="28"/>
          <w:szCs w:val="28"/>
          <w:rtl/>
          <w:lang w:val="en-US"/>
        </w:rPr>
        <w:t>المادة 3-</w:t>
      </w:r>
      <w:r w:rsidRPr="00734886">
        <w:rPr>
          <w:rFonts w:ascii="Simplified Arabic" w:eastAsia="Calibri" w:hAnsi="Simplified Arabic" w:cs="Simplified Arabic"/>
          <w:sz w:val="28"/>
          <w:szCs w:val="28"/>
          <w:rtl/>
          <w:lang w:val="en-US"/>
        </w:rPr>
        <w:t xml:space="preserve"> على المؤسسة الإعلامية التقيد بالالتزامات الآتية:</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 xml:space="preserve"> 1- الالتزام بوثيقة الوفاق الوطني ومقتضيات العيش المشترك والوحدة الوطنية.</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 xml:space="preserve"> 2- الالتزام بحرية وديمقراطية النشاط الإعلامي ودوره خاصة في تأمين التعبير عن مختلف الآراء.</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 xml:space="preserve"> 3- الالتزام بالبرامج والمواد التي من شأنها تشجيع التنشئة الوطنية والمحافظة على السلم الاجتماعي والبنى الأسرية والأخلاق العامة.</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4- الالتزام بعدم بث أو نقل كل ما من شأنه إثارة النعرات الطائفية أو المذهبية أو الحض عليها أو ما يدفع بالمجتمع وخاصة بالأولاد إلى العنف الجسدي والمعنوي والإرهاب والتفرقة العنصرية أو الدينية.</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 xml:space="preserve"> 5- الالتزام بالبث الموضوعي للأخبار وللأحداث وباحترامها لحق الأفراد والهيئات بالرد.</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 xml:space="preserve"> 6- الالتزام باحترام حقوق الغير الأدبية والفنية.</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b/>
          <w:bCs/>
          <w:sz w:val="28"/>
          <w:szCs w:val="28"/>
          <w:rtl/>
          <w:lang w:val="en-US"/>
        </w:rPr>
        <w:t>المادة 4-</w:t>
      </w:r>
      <w:r w:rsidRPr="00734886">
        <w:rPr>
          <w:rFonts w:ascii="Simplified Arabic" w:eastAsia="Calibri" w:hAnsi="Simplified Arabic" w:cs="Simplified Arabic"/>
          <w:sz w:val="28"/>
          <w:szCs w:val="28"/>
          <w:rtl/>
          <w:lang w:val="en-US"/>
        </w:rPr>
        <w:t xml:space="preserve"> يحظر على المؤسسات الإعلامية ما يأتي:</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 xml:space="preserve"> 1- بث أي خبر أو برنامج أو صورة أو فيلم من شأنه تعكير السلامة العامة أو إثارة النعرات أو الشعور الطائفي أو المذهبي بصورة مباشرة أو غير مباشرة.</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 xml:space="preserve"> 2- الحض على العنف والمساس بالأخلاق والآداب العامة والنظام العام.</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 xml:space="preserve"> 3- التعرض بصورة مباشرة أو غير مباشرة لأسس الوفاق الوطني ووحدة البلاد وسيادة الدولة واستقلالها.</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 xml:space="preserve"> 4- بث أو إذاعة أي قدح أو ذم أو تحقير أو تشهير أو كلام كاذب بحق الأشخاص الطبيعيين والمعنويين.</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 xml:space="preserve"> 5- عدم التزام الموضوعية في البرامج الإخبارية وعدم إعطاء الحدث والخبر بماهيته.</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 xml:space="preserve"> 6- بث ما من شأنه أن يشكل تعدياً على ملكية الغير الأدبية والفنية والتجارية.</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 xml:space="preserve"> 7- بث أي موضوع أو تعليق اقتصادي من شأنه التأثير بصورة مباشرة أو غير مباشرة على سلامة النقد الوطني.</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 xml:space="preserve"> 8- الحصول على أي مكسب مالي غير ناجم عن عمل مرتبط مباشرة أو غير مباشرة بطبيعة عملها.</w:t>
      </w:r>
    </w:p>
    <w:p w:rsid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b/>
          <w:bCs/>
          <w:sz w:val="28"/>
          <w:szCs w:val="28"/>
          <w:rtl/>
          <w:lang w:val="en-US"/>
        </w:rPr>
        <w:t>المادة 5-</w:t>
      </w:r>
      <w:r w:rsidRPr="00734886">
        <w:rPr>
          <w:rFonts w:ascii="Simplified Arabic" w:eastAsia="Calibri" w:hAnsi="Simplified Arabic" w:cs="Simplified Arabic"/>
          <w:sz w:val="28"/>
          <w:szCs w:val="28"/>
          <w:rtl/>
          <w:lang w:val="en-US"/>
        </w:rPr>
        <w:t xml:space="preserve"> في حال عدم تقيد المؤسسة بأحكام الفقرات السابقة من هذا القانون تطبق بحقها أحكام قانون المطبوعات.</w:t>
      </w:r>
    </w:p>
    <w:p w:rsid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p>
    <w:p w:rsid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p>
    <w:p w:rsid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p>
    <w:p w:rsidR="00734886" w:rsidRPr="00734886" w:rsidRDefault="00734886" w:rsidP="00734886">
      <w:pPr>
        <w:autoSpaceDE w:val="0"/>
        <w:autoSpaceDN w:val="0"/>
        <w:bidi/>
        <w:adjustRightInd w:val="0"/>
        <w:spacing w:after="0" w:line="240" w:lineRule="auto"/>
        <w:jc w:val="center"/>
        <w:rPr>
          <w:rFonts w:ascii="Simplified Arabic" w:eastAsia="Calibri" w:hAnsi="Simplified Arabic" w:cs="Simplified Arabic"/>
          <w:b/>
          <w:bCs/>
          <w:sz w:val="28"/>
          <w:szCs w:val="28"/>
          <w:u w:val="single"/>
          <w:rtl/>
          <w:lang w:val="en-US" w:bidi="ar-LB"/>
        </w:rPr>
      </w:pPr>
      <w:bookmarkStart w:id="0" w:name="_GoBack"/>
      <w:bookmarkEnd w:id="0"/>
      <w:r w:rsidRPr="00734886">
        <w:rPr>
          <w:rFonts w:ascii="Simplified Arabic" w:eastAsia="Calibri" w:hAnsi="Simplified Arabic" w:cs="Simplified Arabic" w:hint="cs"/>
          <w:b/>
          <w:bCs/>
          <w:sz w:val="28"/>
          <w:szCs w:val="28"/>
          <w:u w:val="single"/>
          <w:rtl/>
          <w:lang w:val="en-US"/>
        </w:rPr>
        <w:lastRenderedPageBreak/>
        <w:t xml:space="preserve"> </w:t>
      </w:r>
      <w:r w:rsidRPr="00734886">
        <w:rPr>
          <w:rFonts w:ascii="Simplified Arabic" w:eastAsia="Calibri" w:hAnsi="Simplified Arabic" w:cs="Simplified Arabic"/>
          <w:b/>
          <w:bCs/>
          <w:sz w:val="28"/>
          <w:szCs w:val="28"/>
          <w:u w:val="single"/>
          <w:rtl/>
          <w:lang w:val="en-US"/>
        </w:rPr>
        <w:t>البث التلفزيوني والإذاعي</w:t>
      </w:r>
    </w:p>
    <w:p w:rsidR="00734886" w:rsidRPr="00734886" w:rsidRDefault="00734886" w:rsidP="00734886">
      <w:pPr>
        <w:autoSpaceDE w:val="0"/>
        <w:autoSpaceDN w:val="0"/>
        <w:bidi/>
        <w:adjustRightInd w:val="0"/>
        <w:spacing w:after="0" w:line="240" w:lineRule="auto"/>
        <w:jc w:val="center"/>
        <w:rPr>
          <w:rFonts w:ascii="Simplified Arabic" w:eastAsia="Calibri" w:hAnsi="Simplified Arabic" w:cs="Simplified Arabic"/>
          <w:sz w:val="28"/>
          <w:szCs w:val="28"/>
          <w:rtl/>
          <w:lang w:val="en-US"/>
        </w:rPr>
      </w:pPr>
      <w:r w:rsidRPr="00734886">
        <w:rPr>
          <w:rFonts w:ascii="Simplified Arabic" w:eastAsia="Calibri" w:hAnsi="Simplified Arabic" w:cs="Simplified Arabic"/>
          <w:b/>
          <w:bCs/>
          <w:sz w:val="28"/>
          <w:szCs w:val="28"/>
          <w:u w:val="single"/>
          <w:rtl/>
          <w:lang w:val="en-US"/>
        </w:rPr>
        <w:t>قانون رقم 382 - صادر في 4/11/1994</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b/>
          <w:bCs/>
          <w:sz w:val="28"/>
          <w:szCs w:val="28"/>
          <w:rtl/>
          <w:lang w:val="en-US"/>
        </w:rPr>
      </w:pPr>
      <w:r w:rsidRPr="00734886">
        <w:rPr>
          <w:rFonts w:ascii="Simplified Arabic" w:eastAsia="Calibri" w:hAnsi="Simplified Arabic" w:cs="Simplified Arabic"/>
          <w:b/>
          <w:bCs/>
          <w:sz w:val="28"/>
          <w:szCs w:val="28"/>
          <w:rtl/>
          <w:lang w:val="en-US"/>
        </w:rPr>
        <w:t>المادة 35-</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1- في حال عدم تقيد المؤسسة التلفزيونية والإذاعية بالموجبات المترتبة عليها في هذا القانون والقوانين المرعية الأجراء، تتخذ في حقها التدابير الآتية:</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 xml:space="preserve">  - في حالة المخالفة الأولى: لوزير الإعلام بناء على اقتراح المجلس الوطني للإعلام المرئي والمسموع، أن يوقف المؤسسة عن البث لمدة أقصاها ثلاثة أيام.</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 xml:space="preserve">  - في حالة المخالفة الثانية ضمن مهلة سنة من تاريخ ارتكاب المخالفة الأولى: لمجلس الوزراء بناء على اقتراح وزير الإعلام المبني على اقتراح المجلس الوطني للإعلام المرئي والمسموع أن يوقف المؤسسة عن البث لمدة لا تقل عن ثلاثة أيام ولا تزيد عن شهر.</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يجتمع المجلس الوطني للإعلام المرئي والمسموع بمبادرة منه أو بدعوة من وزير الإعلام.</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وفي حال تخلف المجلس عن تلبية دعوة الوزير خلال ثماني وأربعين ساعة، لوزير الإعلام الاستغناء عن رأي المجلس.</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وتكون القرارات المذكورة في هذه المادة قابلة للمراجعة أمام المحكمة المختصة التي تنظر فيها حسب الأصول الموجزة وعلى ألا يتجاوز التعويض المحكوم به في حال اعتبر التدبير مخالفاً للقانون، مبلغاً مقطوعاً قدره عشرة ملايين ليرة لبنانية عن كل يوم توقيف للمؤسسة التلفزيونية وثلاثة ملايين ليرة لبنانية للمؤسسة الإذاعية.</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2- إضافة إلى ما ورد في البند (1) أعلاه، تطبق على الجرائم المرتكبة بواسطة المؤسسات التلفزيونية والإذاعية العقوبات المنصوص عليها في قانون العقوبات العام وفي قانون المطبوعات وفي هذا القانون وسائر القوانين المرعية الإجراء، على أن تشدد هذه العقوبات وفقاً للمادة 257 من قانون العقوبات.</w:t>
      </w:r>
    </w:p>
    <w:p w:rsidR="00734886" w:rsidRPr="00734886" w:rsidRDefault="00734886" w:rsidP="00734886">
      <w:pPr>
        <w:autoSpaceDE w:val="0"/>
        <w:autoSpaceDN w:val="0"/>
        <w:bidi/>
        <w:adjustRightInd w:val="0"/>
        <w:spacing w:after="0" w:line="240" w:lineRule="auto"/>
        <w:rPr>
          <w:rFonts w:ascii="Simplified Arabic" w:eastAsia="Calibri" w:hAnsi="Simplified Arabic" w:cs="Simplified Arabic"/>
          <w:sz w:val="28"/>
          <w:szCs w:val="28"/>
          <w:rtl/>
          <w:lang w:val="en-US"/>
        </w:rPr>
      </w:pPr>
      <w:r w:rsidRPr="00734886">
        <w:rPr>
          <w:rFonts w:ascii="Simplified Arabic" w:eastAsia="Calibri" w:hAnsi="Simplified Arabic" w:cs="Simplified Arabic"/>
          <w:sz w:val="28"/>
          <w:szCs w:val="28"/>
          <w:rtl/>
          <w:lang w:val="en-US"/>
        </w:rPr>
        <w:t>وتضاف عبارة "المؤسسات التلفزيونية والإذاعية" حيث يلزم في جميع القوانين المذكورة ويعتبر البث بواسطتها مرادفاً للنشر المنصوص عليه في المادة 209 من قانون العقوبات.</w:t>
      </w:r>
    </w:p>
    <w:p w:rsidR="00D63A34" w:rsidRDefault="00734886"/>
    <w:sectPr w:rsidR="00D63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86"/>
    <w:rsid w:val="0067222C"/>
    <w:rsid w:val="00734886"/>
    <w:rsid w:val="00C83E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431BB-DC46-498E-8426-C6DC6D2D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2019-06-23T19:47:00Z</dcterms:created>
  <dcterms:modified xsi:type="dcterms:W3CDTF">2019-06-23T19:48:00Z</dcterms:modified>
</cp:coreProperties>
</file>